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0B880">
      <w:pPr>
        <w:pStyle w:val="22"/>
        <w:keepNext w:val="0"/>
        <w:keepLines w:val="0"/>
        <w:pageBreakBefore w:val="0"/>
        <w:widowControl w:val="0"/>
        <w:shd w:val="clear"/>
        <w:kinsoku/>
        <w:wordWrap/>
        <w:autoSpaceDE/>
        <w:autoSpaceDN/>
        <w:bidi w:val="0"/>
        <w:textAlignment w:val="center"/>
      </w:pPr>
      <mc:AlternateContent>
        <mc:Choice Requires="wpsCustomData">
          <wpsCustomData:docfieldStart id="0" docfieldname="附件_1" hidden="0" print="1" readonly="0" index="1"/>
        </mc:Choice>
      </mc:AlternateContent>
      <w:r>
        <w:t>附件5</w:t>
      </w:r>
      <mc:AlternateContent>
        <mc:Choice Requires="wpsCustomData">
          <wpsCustomData:docfieldEnd id="0"/>
        </mc:Choice>
      </mc:AlternateContent>
    </w:p>
    <w:p w14:paraId="7D4573FE">
      <w:pPr>
        <w:pStyle w:val="17"/>
        <w:keepNext w:val="0"/>
        <w:keepLines w:val="0"/>
        <w:pageBreakBefore w:val="0"/>
        <w:widowControl w:val="0"/>
        <w:shd w:val="clear"/>
        <w:kinsoku/>
        <w:wordWrap/>
        <w:autoSpaceDE/>
        <w:autoSpaceDN/>
        <w:bidi w:val="0"/>
        <w:textAlignment w:val="center"/>
      </w:pPr>
      <mc:AlternateContent>
        <mc:Choice Requires="wpsCustomData">
          <wpsCustomData:docfieldStart id="1" docfieldname="FJ_1" hidden="0" print="1" readonly="0" index="2"/>
        </mc:Choice>
      </mc:AlternateContent>
      <w:r>
        <w:t>综合评分细则</w:t>
      </w:r>
      <mc:AlternateContent>
        <mc:Choice Requires="wpsCustomData">
          <wpsCustomData:docfieldEnd id="1"/>
        </mc:Choice>
      </mc:AlternateContent>
    </w:p>
    <w:p w14:paraId="65036086">
      <w:pPr>
        <w:pStyle w:val="11"/>
        <w:keepNext w:val="0"/>
        <w:keepLines w:val="0"/>
        <w:pageBreakBefore w:val="0"/>
        <w:widowControl w:val="0"/>
        <w:shd w:val="clear"/>
        <w:kinsoku/>
        <w:wordWrap/>
        <w:autoSpaceDE/>
        <w:autoSpaceDN/>
        <w:bidi w:val="0"/>
        <w:textAlignment w:val="center"/>
        <w:rPr>
          <w:rFonts w:ascii="Times New Roman" w:hAnsi="Times New Roman" w:eastAsia="仿宋_GB2312" w:cs="仿宋_GB2312"/>
          <w:i w:val="0"/>
          <w:color w:val="0F1115"/>
          <w:sz w:val="32"/>
          <w:szCs w:val="32"/>
        </w:rPr>
      </w:pPr>
    </w:p>
    <w:p w14:paraId="36FE54B4">
      <w:pPr>
        <w:pStyle w:val="11"/>
        <w:keepNext w:val="0"/>
        <w:keepLines w:val="0"/>
        <w:pageBreakBefore w:val="0"/>
        <w:widowControl w:val="0"/>
        <w:shd w:val="clear"/>
        <w:kinsoku/>
        <w:wordWrap/>
        <w:autoSpaceDE/>
        <w:autoSpaceDN/>
        <w:bidi w:val="0"/>
        <w:textAlignment w:val="center"/>
        <w:rPr>
          <w:rFonts w:ascii="Times New Roman" w:hAnsi="Times New Roman" w:eastAsia="仿宋_GB2312" w:cs="仿宋_GB2312"/>
          <w:i w:val="0"/>
          <w:color w:val="0F1115"/>
          <w:sz w:val="32"/>
          <w:szCs w:val="32"/>
        </w:rPr>
      </w:pPr>
      <w:r>
        <w:rPr>
          <w:rFonts w:ascii="Times New Roman" w:hAnsi="Times New Roman" w:eastAsia="仿宋_GB2312" w:cs="仿宋_GB2312"/>
          <w:i w:val="0"/>
          <w:color w:val="0F1115"/>
          <w:sz w:val="32"/>
          <w:szCs w:val="32"/>
        </w:rPr>
        <w:t>本项目采用综合评分法。比选小组对通过资格审查和符合性审查的有效响应文件，按照本评分细则进行打分。评审总分100分，其中</w:t>
      </w:r>
      <w:r>
        <w:rPr>
          <w:rFonts w:ascii="Times New Roman" w:hAnsi="Times New Roman" w:eastAsia="仿宋_GB2312" w:cs="仿宋_GB2312"/>
          <w:b/>
          <w:i w:val="0"/>
          <w:color w:val="0F1115"/>
          <w:sz w:val="32"/>
          <w:szCs w:val="32"/>
        </w:rPr>
        <w:t>价格分30分</w:t>
      </w:r>
      <w:r>
        <w:rPr>
          <w:rFonts w:ascii="Times New Roman" w:hAnsi="Times New Roman" w:eastAsia="仿宋_GB2312" w:cs="仿宋_GB2312"/>
          <w:i w:val="0"/>
          <w:color w:val="0F1115"/>
          <w:sz w:val="32"/>
          <w:szCs w:val="32"/>
        </w:rPr>
        <w:t>，</w:t>
      </w:r>
      <w:r>
        <w:rPr>
          <w:rFonts w:ascii="Times New Roman" w:hAnsi="Times New Roman" w:eastAsia="仿宋_GB2312" w:cs="仿宋_GB2312"/>
          <w:b/>
          <w:i w:val="0"/>
          <w:color w:val="0F1115"/>
          <w:sz w:val="32"/>
          <w:szCs w:val="32"/>
        </w:rPr>
        <w:t>技术商务分70分</w:t>
      </w:r>
      <w:r>
        <w:rPr>
          <w:rFonts w:ascii="Times New Roman" w:hAnsi="Times New Roman" w:eastAsia="仿宋_GB2312" w:cs="仿宋_GB2312"/>
          <w:i w:val="0"/>
          <w:color w:val="0F1115"/>
          <w:sz w:val="32"/>
          <w:szCs w:val="32"/>
        </w:rPr>
        <w:t>。综合得分最高的供应商为第一成交候选人。</w:t>
      </w:r>
    </w:p>
    <w:p w14:paraId="35831194">
      <w:pPr>
        <w:pStyle w:val="2"/>
        <w:keepNext w:val="0"/>
        <w:keepLines w:val="0"/>
        <w:pageBreakBefore w:val="0"/>
        <w:widowControl w:val="0"/>
        <w:numPr>
          <w:numId w:val="0"/>
        </w:numPr>
        <w:shd w:val="clear"/>
        <w:kinsoku/>
        <w:wordWrap/>
        <w:topLinePunct w:val="0"/>
        <w:autoSpaceDE/>
        <w:autoSpaceDN/>
        <w:bidi w:val="0"/>
        <w:spacing w:beforeLines="0" w:afterLines="0"/>
        <w:ind w:left="0" w:leftChars="0" w:firstLine="632"/>
        <w:textAlignment w:val="center"/>
        <w:rPr>
          <w:b w:val="0"/>
          <w:bdr w:val="none" w:sz="0" w:space="0"/>
        </w:rPr>
      </w:pPr>
      <w:r>
        <w:rPr>
          <w:rFonts w:hint="eastAsia"/>
          <w:lang w:val="en-US" w:eastAsia="zh-CN"/>
        </w:rPr>
        <w:t>一</w:t>
      </w:r>
      <w:r>
        <w:rPr>
          <w:rFonts w:hint="eastAsia"/>
          <w:lang w:eastAsia="zh-CN"/>
        </w:rPr>
        <w:t>、</w:t>
      </w:r>
      <w:r>
        <w:t>价格分评分细则（30分）</w:t>
      </w:r>
    </w:p>
    <w:p w14:paraId="0F01564E">
      <w:pPr>
        <w:pStyle w:val="11"/>
        <w:keepNext w:val="0"/>
        <w:keepLines w:val="0"/>
        <w:pageBreakBefore w:val="0"/>
        <w:widowControl w:val="0"/>
        <w:shd w:val="clear"/>
        <w:kinsoku/>
        <w:wordWrap/>
        <w:autoSpaceDE/>
        <w:autoSpaceDN/>
        <w:bidi w:val="0"/>
        <w:textAlignment w:val="center"/>
        <w:rPr>
          <w:rFonts w:ascii="Times New Roman" w:hAnsi="Times New Roman" w:eastAsia="仿宋_GB2312" w:cs="仿宋_GB2312"/>
          <w:i w:val="0"/>
          <w:color w:val="0F1115"/>
          <w:sz w:val="32"/>
          <w:szCs w:val="32"/>
        </w:rPr>
      </w:pPr>
      <w:r>
        <w:rPr>
          <w:rFonts w:ascii="Times New Roman" w:hAnsi="Times New Roman" w:eastAsia="仿宋_GB2312" w:cs="仿宋_GB2312"/>
          <w:i w:val="0"/>
          <w:color w:val="0F1115"/>
          <w:sz w:val="32"/>
          <w:szCs w:val="32"/>
        </w:rPr>
        <w:t>价格分采用低价优先法计算，即满足采购文件实质性要求且报价最低的有效供应商报价为评审基准价，其价格分为满分。其他供应商的价格分统一按下列公式计算：</w:t>
      </w:r>
    </w:p>
    <w:p w14:paraId="6CC156B0">
      <w:pPr>
        <w:pStyle w:val="11"/>
        <w:keepNext w:val="0"/>
        <w:keepLines w:val="0"/>
        <w:pageBreakBefore w:val="0"/>
        <w:widowControl w:val="0"/>
        <w:shd w:val="clear"/>
        <w:kinsoku/>
        <w:wordWrap/>
        <w:autoSpaceDE/>
        <w:autoSpaceDN/>
        <w:bidi w:val="0"/>
        <w:textAlignment w:val="center"/>
        <w:rPr>
          <w:rFonts w:ascii="Times New Roman" w:hAnsi="Times New Roman" w:eastAsia="仿宋_GB2312" w:cs="仿宋_GB2312"/>
          <w:sz w:val="32"/>
          <w:szCs w:val="32"/>
        </w:rPr>
      </w:pPr>
      <w:r>
        <w:rPr>
          <w:rFonts w:ascii="Times New Roman" w:hAnsi="Times New Roman" w:eastAsia="仿宋_GB2312" w:cs="仿宋_GB2312"/>
          <w:b/>
          <w:i w:val="0"/>
          <w:color w:val="0F1115"/>
          <w:sz w:val="32"/>
          <w:szCs w:val="32"/>
        </w:rPr>
        <w:t>价格分 ＝（评审基准价 ÷ 供应商报价）× 30</w:t>
      </w:r>
    </w:p>
    <w:p w14:paraId="057DCB5D">
      <w:pPr>
        <w:pStyle w:val="11"/>
        <w:keepNext w:val="0"/>
        <w:keepLines w:val="0"/>
        <w:pageBreakBefore w:val="0"/>
        <w:widowControl w:val="0"/>
        <w:shd w:val="clear"/>
        <w:kinsoku/>
        <w:wordWrap/>
        <w:autoSpaceDE/>
        <w:autoSpaceDN/>
        <w:bidi w:val="0"/>
        <w:textAlignment w:val="center"/>
        <w:rPr>
          <w:rFonts w:ascii="Times New Roman" w:hAnsi="Times New Roman" w:eastAsia="仿宋_GB2312" w:cs="仿宋_GB2312"/>
          <w:i w:val="0"/>
          <w:color w:val="0F1115"/>
          <w:sz w:val="32"/>
          <w:szCs w:val="32"/>
        </w:rPr>
      </w:pPr>
      <w:r>
        <w:rPr>
          <w:rFonts w:ascii="Times New Roman" w:hAnsi="Times New Roman" w:eastAsia="仿宋_GB2312" w:cs="仿宋_GB2312"/>
          <w:i w:val="0"/>
          <w:color w:val="0F1115"/>
          <w:sz w:val="32"/>
          <w:szCs w:val="32"/>
        </w:rPr>
        <w:t>注：报价超过最高单价限价（210元／份）的为无效报价。价格分计算结果四舍五入保留两位小数。</w:t>
      </w:r>
    </w:p>
    <w:p w14:paraId="2B0A50C3">
      <w:pPr>
        <w:pStyle w:val="2"/>
        <w:keepNext w:val="0"/>
        <w:keepLines w:val="0"/>
        <w:pageBreakBefore w:val="0"/>
        <w:widowControl w:val="0"/>
        <w:numPr>
          <w:ilvl w:val="0"/>
          <w:numId w:val="0"/>
        </w:numPr>
        <w:shd w:val="clear"/>
        <w:kinsoku/>
        <w:wordWrap/>
        <w:topLinePunct w:val="0"/>
        <w:autoSpaceDE/>
        <w:autoSpaceDN/>
        <w:bidi w:val="0"/>
        <w:spacing w:beforeLines="0" w:afterLines="0"/>
        <w:ind w:left="0" w:leftChars="0" w:firstLine="632"/>
        <w:textAlignment w:val="center"/>
        <w:rPr>
          <w:rFonts w:hint="eastAsia" w:ascii="仿宋_GB2312" w:hAnsi="仿宋_GB2312" w:eastAsia="仿宋_GB2312" w:cs="仿宋_GB2312"/>
          <w:b w:val="0"/>
          <w:bdr w:val="none" w:sz="0" w:space="0"/>
        </w:rPr>
      </w:pPr>
      <w:r>
        <w:rPr>
          <w:rFonts w:hint="eastAsia"/>
          <w:lang w:val="en-US" w:eastAsia="zh-CN"/>
        </w:rPr>
        <w:t>二、技术商务分评分细则（70分）</w:t>
      </w:r>
    </w:p>
    <w:tbl>
      <w:tblPr>
        <w:tblW w:w="51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Layout w:type="autofit"/>
        <w:tblCellMar>
          <w:top w:w="15" w:type="dxa"/>
          <w:left w:w="15" w:type="dxa"/>
          <w:bottom w:w="15" w:type="dxa"/>
          <w:right w:w="15" w:type="dxa"/>
        </w:tblCellMar>
      </w:tblPr>
      <w:tblGrid>
        <w:gridCol w:w="1224"/>
        <w:gridCol w:w="1003"/>
        <w:gridCol w:w="7430"/>
      </w:tblGrid>
      <w:tr w14:paraId="4F284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tblCellMar>
            <w:top w:w="15" w:type="dxa"/>
            <w:left w:w="15" w:type="dxa"/>
            <w:bottom w:w="15" w:type="dxa"/>
            <w:right w:w="15" w:type="dxa"/>
          </w:tblCellMar>
        </w:tblPrEx>
        <w:trPr>
          <w:trHeight w:val="340" w:hRule="atLeast"/>
          <w:tblHeader/>
        </w:trPr>
        <w:tc>
          <w:tcPr>
            <w:tcW w:w="634" w:type="pct"/>
            <w:shd w:val="clear"/>
            <w:tcMar>
              <w:top w:w="150" w:type="dxa"/>
              <w:left w:w="240" w:type="dxa"/>
              <w:bottom w:w="150" w:type="dxa"/>
              <w:right w:w="240" w:type="dxa"/>
            </w:tcMar>
            <w:vAlign w:val="center"/>
          </w:tcPr>
          <w:p w14:paraId="52487405">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bCs/>
                <w:kern w:val="0"/>
                <w:sz w:val="24"/>
                <w:szCs w:val="24"/>
                <w:bdr w:val="none" w:color="auto" w:sz="0" w:space="0"/>
                <w:lang w:val="en-US" w:eastAsia="zh-CN" w:bidi="ar"/>
              </w:rPr>
            </w:pPr>
            <w:r>
              <w:rPr>
                <w:rFonts w:hint="default" w:ascii="Times New Roman" w:hAnsi="Times New Roman" w:eastAsia="仿宋_GB2312" w:cs="Times New Roman"/>
                <w:b/>
                <w:bCs/>
                <w:kern w:val="0"/>
                <w:sz w:val="24"/>
                <w:szCs w:val="24"/>
                <w:bdr w:val="none" w:color="auto" w:sz="0" w:space="0"/>
                <w:lang w:val="en-US" w:eastAsia="zh-CN" w:bidi="ar"/>
              </w:rPr>
              <w:t>评分</w:t>
            </w:r>
          </w:p>
          <w:p w14:paraId="0D281C3E">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bCs/>
                <w:sz w:val="24"/>
                <w:szCs w:val="24"/>
              </w:rPr>
            </w:pPr>
            <w:r>
              <w:rPr>
                <w:rFonts w:hint="default" w:ascii="Times New Roman" w:hAnsi="Times New Roman" w:eastAsia="仿宋_GB2312" w:cs="Times New Roman"/>
                <w:b/>
                <w:bCs/>
                <w:kern w:val="0"/>
                <w:sz w:val="24"/>
                <w:szCs w:val="24"/>
                <w:bdr w:val="none" w:color="auto" w:sz="0" w:space="0"/>
                <w:lang w:val="en-US" w:eastAsia="zh-CN" w:bidi="ar"/>
              </w:rPr>
              <w:t>因素</w:t>
            </w:r>
          </w:p>
        </w:tc>
        <w:tc>
          <w:tcPr>
            <w:tcW w:w="519" w:type="pct"/>
            <w:shd w:val="clear"/>
            <w:tcMar>
              <w:top w:w="150" w:type="dxa"/>
              <w:left w:w="240" w:type="dxa"/>
              <w:bottom w:w="150" w:type="dxa"/>
              <w:right w:w="240" w:type="dxa"/>
            </w:tcMar>
            <w:vAlign w:val="center"/>
          </w:tcPr>
          <w:p w14:paraId="0FA187B0">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bCs/>
                <w:sz w:val="24"/>
                <w:szCs w:val="24"/>
              </w:rPr>
            </w:pPr>
            <w:r>
              <w:rPr>
                <w:rFonts w:hint="default" w:ascii="Times New Roman" w:hAnsi="Times New Roman" w:eastAsia="仿宋_GB2312" w:cs="Times New Roman"/>
                <w:b/>
                <w:bCs/>
                <w:kern w:val="0"/>
                <w:sz w:val="24"/>
                <w:szCs w:val="24"/>
                <w:bdr w:val="none" w:color="auto" w:sz="0" w:space="0"/>
                <w:lang w:val="en-US" w:eastAsia="zh-CN" w:bidi="ar"/>
              </w:rPr>
              <w:t>分值</w:t>
            </w:r>
          </w:p>
        </w:tc>
        <w:tc>
          <w:tcPr>
            <w:tcW w:w="3846" w:type="pct"/>
            <w:shd w:val="clear"/>
            <w:tcMar>
              <w:top w:w="150" w:type="dxa"/>
              <w:left w:w="240" w:type="dxa"/>
              <w:bottom w:w="150" w:type="dxa"/>
              <w:right w:w="240" w:type="dxa"/>
            </w:tcMar>
            <w:vAlign w:val="center"/>
          </w:tcPr>
          <w:p w14:paraId="61BDC01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bCs/>
                <w:sz w:val="24"/>
                <w:szCs w:val="24"/>
              </w:rPr>
            </w:pPr>
            <w:r>
              <w:rPr>
                <w:rFonts w:hint="default" w:ascii="Times New Roman" w:hAnsi="Times New Roman" w:eastAsia="仿宋_GB2312" w:cs="Times New Roman"/>
                <w:b/>
                <w:bCs/>
                <w:kern w:val="0"/>
                <w:sz w:val="24"/>
                <w:szCs w:val="24"/>
                <w:bdr w:val="none" w:color="auto" w:sz="0" w:space="0"/>
                <w:lang w:val="en-US" w:eastAsia="zh-CN" w:bidi="ar"/>
              </w:rPr>
              <w:t>评分标准</w:t>
            </w:r>
          </w:p>
        </w:tc>
      </w:tr>
      <w:tr w14:paraId="1C0E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4A93C7D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整体服务方案</w:t>
            </w:r>
          </w:p>
        </w:tc>
        <w:tc>
          <w:tcPr>
            <w:tcW w:w="519" w:type="pct"/>
            <w:shd w:val="clear"/>
            <w:tcMar>
              <w:top w:w="150" w:type="dxa"/>
              <w:left w:w="240" w:type="dxa"/>
              <w:bottom w:w="150" w:type="dxa"/>
              <w:right w:w="240" w:type="dxa"/>
            </w:tcMar>
            <w:vAlign w:val="center"/>
          </w:tcPr>
          <w:p w14:paraId="3FB47094">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15分</w:t>
            </w:r>
          </w:p>
        </w:tc>
        <w:tc>
          <w:tcPr>
            <w:tcW w:w="3846" w:type="pct"/>
            <w:shd w:val="clear"/>
            <w:tcMar>
              <w:top w:w="150" w:type="dxa"/>
              <w:left w:w="240" w:type="dxa"/>
              <w:bottom w:w="150" w:type="dxa"/>
              <w:right w:w="0" w:type="dxa"/>
            </w:tcMar>
            <w:vAlign w:val="center"/>
          </w:tcPr>
          <w:p w14:paraId="41F0E1C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根据供应商提供的服务方案（含培训计划、档案检查整改方案、工作流程等）进行评审：</w:t>
            </w:r>
          </w:p>
          <w:p w14:paraId="67AB18A4">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①方案内容全面、合理可行，完全满足采购需求且针对性强，得15分；</w:t>
            </w:r>
          </w:p>
          <w:p w14:paraId="66FA53CD">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②方案较全面，基本满足采购需求，有一定针对性，得10分；</w:t>
            </w:r>
          </w:p>
          <w:p w14:paraId="631F9221">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③方案内容简单，仅满足采购需求基本要求，得5分；</w:t>
            </w:r>
          </w:p>
          <w:p w14:paraId="34BE15E5">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④方案内容缺失或与采购需求不符，得0分。</w:t>
            </w:r>
          </w:p>
        </w:tc>
      </w:tr>
      <w:tr w14:paraId="2A5E6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2F0BA698">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技术实施方案</w:t>
            </w:r>
          </w:p>
        </w:tc>
        <w:tc>
          <w:tcPr>
            <w:tcW w:w="519" w:type="pct"/>
            <w:shd w:val="clear"/>
            <w:tcMar>
              <w:top w:w="150" w:type="dxa"/>
              <w:left w:w="240" w:type="dxa"/>
              <w:bottom w:w="150" w:type="dxa"/>
              <w:right w:w="240" w:type="dxa"/>
            </w:tcMar>
            <w:vAlign w:val="center"/>
          </w:tcPr>
          <w:p w14:paraId="0C7E70A4">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2</w:t>
            </w:r>
            <w:r>
              <w:rPr>
                <w:rFonts w:hint="eastAsia" w:ascii="Times New Roman" w:hAnsi="Times New Roman" w:cs="Times New Roman"/>
                <w:b w:val="0"/>
                <w:bCs w:val="0"/>
                <w:kern w:val="0"/>
                <w:sz w:val="24"/>
                <w:szCs w:val="24"/>
                <w:bdr w:val="none" w:color="auto" w:sz="0" w:space="0"/>
                <w:lang w:val="en-US" w:eastAsia="zh-CN" w:bidi="ar"/>
              </w:rPr>
              <w:t>4</w:t>
            </w:r>
            <w:r>
              <w:rPr>
                <w:rFonts w:hint="default" w:ascii="Times New Roman" w:hAnsi="Times New Roman" w:eastAsia="仿宋_GB2312" w:cs="Times New Roman"/>
                <w:b w:val="0"/>
                <w:bCs w:val="0"/>
                <w:kern w:val="0"/>
                <w:sz w:val="24"/>
                <w:szCs w:val="24"/>
                <w:bdr w:val="none" w:color="auto" w:sz="0" w:space="0"/>
                <w:lang w:val="en-US" w:eastAsia="zh-CN" w:bidi="ar"/>
              </w:rPr>
              <w:t>分</w:t>
            </w:r>
          </w:p>
        </w:tc>
        <w:tc>
          <w:tcPr>
            <w:tcW w:w="3846" w:type="pct"/>
            <w:shd w:val="clear"/>
            <w:tcMar>
              <w:top w:w="150" w:type="dxa"/>
              <w:left w:w="240" w:type="dxa"/>
              <w:bottom w:w="150" w:type="dxa"/>
              <w:right w:w="0" w:type="dxa"/>
            </w:tcMar>
            <w:vAlign w:val="center"/>
          </w:tcPr>
          <w:p w14:paraId="7917C784">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根据供应商提供的数字化加工技术方案（含扫描分辨率、图像处理、数据校验、备份等，以及数据加密传输、访问控制、备份恢复等安全技术措施，同时包含数据上传至指定档案管理系统的技术路线）进行评审：</w:t>
            </w:r>
          </w:p>
          <w:p w14:paraId="51C17D63">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①技术方案先进，完全符合GB／T33870－2017标准，质量保证措施完善，安全技术措施明确可行，数据上传方案清晰，得</w:t>
            </w:r>
            <w:r>
              <w:rPr>
                <w:rFonts w:hint="eastAsia" w:ascii="Times New Roman" w:hAnsi="Times New Roman" w:cs="Times New Roman"/>
                <w:b w:val="0"/>
                <w:bCs w:val="0"/>
                <w:kern w:val="0"/>
                <w:sz w:val="24"/>
                <w:szCs w:val="24"/>
                <w:bdr w:val="none" w:color="auto" w:sz="0" w:space="0"/>
                <w:lang w:val="en-US" w:eastAsia="zh-CN" w:bidi="ar"/>
              </w:rPr>
              <w:t>24</w:t>
            </w:r>
            <w:r>
              <w:rPr>
                <w:rFonts w:hint="default" w:ascii="Times New Roman" w:hAnsi="Times New Roman" w:eastAsia="仿宋_GB2312" w:cs="Times New Roman"/>
                <w:b w:val="0"/>
                <w:bCs w:val="0"/>
                <w:kern w:val="0"/>
                <w:sz w:val="24"/>
                <w:szCs w:val="24"/>
                <w:bdr w:val="none" w:color="auto" w:sz="0" w:space="0"/>
                <w:lang w:val="en-US" w:eastAsia="zh-CN" w:bidi="ar"/>
              </w:rPr>
              <w:t>分；</w:t>
            </w:r>
          </w:p>
          <w:p w14:paraId="15A01457">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②技术方案较合理，基本符合技术标准，安全措施和数据上传方案基本完整，得</w:t>
            </w:r>
            <w:r>
              <w:rPr>
                <w:rFonts w:hint="eastAsia" w:ascii="Times New Roman" w:hAnsi="Times New Roman" w:cs="Times New Roman"/>
                <w:b w:val="0"/>
                <w:bCs w:val="0"/>
                <w:kern w:val="0"/>
                <w:sz w:val="24"/>
                <w:szCs w:val="24"/>
                <w:bdr w:val="none" w:color="auto" w:sz="0" w:space="0"/>
                <w:lang w:val="en-US" w:eastAsia="zh-CN" w:bidi="ar"/>
              </w:rPr>
              <w:t>16</w:t>
            </w:r>
            <w:r>
              <w:rPr>
                <w:rFonts w:hint="default" w:ascii="Times New Roman" w:hAnsi="Times New Roman" w:eastAsia="仿宋_GB2312" w:cs="Times New Roman"/>
                <w:b w:val="0"/>
                <w:bCs w:val="0"/>
                <w:kern w:val="0"/>
                <w:sz w:val="24"/>
                <w:szCs w:val="24"/>
                <w:bdr w:val="none" w:color="auto" w:sz="0" w:space="0"/>
                <w:lang w:val="en-US" w:eastAsia="zh-CN" w:bidi="ar"/>
              </w:rPr>
              <w:t>分；</w:t>
            </w:r>
          </w:p>
          <w:p w14:paraId="7A0AB13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③技术方案一般，得</w:t>
            </w:r>
            <w:r>
              <w:rPr>
                <w:rFonts w:hint="eastAsia" w:ascii="Times New Roman" w:hAnsi="Times New Roman" w:cs="Times New Roman"/>
                <w:b w:val="0"/>
                <w:bCs w:val="0"/>
                <w:kern w:val="0"/>
                <w:sz w:val="24"/>
                <w:szCs w:val="24"/>
                <w:bdr w:val="none" w:color="auto" w:sz="0" w:space="0"/>
                <w:lang w:val="en-US" w:eastAsia="zh-CN" w:bidi="ar"/>
              </w:rPr>
              <w:t>8</w:t>
            </w:r>
            <w:r>
              <w:rPr>
                <w:rFonts w:hint="default" w:ascii="Times New Roman" w:hAnsi="Times New Roman" w:eastAsia="仿宋_GB2312" w:cs="Times New Roman"/>
                <w:b w:val="0"/>
                <w:bCs w:val="0"/>
                <w:kern w:val="0"/>
                <w:sz w:val="24"/>
                <w:szCs w:val="24"/>
                <w:bdr w:val="none" w:color="auto" w:sz="0" w:space="0"/>
                <w:lang w:val="en-US" w:eastAsia="zh-CN" w:bidi="ar"/>
              </w:rPr>
              <w:t>分；</w:t>
            </w:r>
          </w:p>
          <w:p w14:paraId="0FC7FF65">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④未提供或方案明显不可行，得0分。</w:t>
            </w:r>
          </w:p>
        </w:tc>
      </w:tr>
      <w:tr w14:paraId="6E1F3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717EE47A">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类似项目业绩</w:t>
            </w:r>
          </w:p>
        </w:tc>
        <w:tc>
          <w:tcPr>
            <w:tcW w:w="519" w:type="pct"/>
            <w:shd w:val="clear"/>
            <w:tcMar>
              <w:top w:w="150" w:type="dxa"/>
              <w:left w:w="240" w:type="dxa"/>
              <w:bottom w:w="150" w:type="dxa"/>
              <w:right w:w="240" w:type="dxa"/>
            </w:tcMar>
            <w:vAlign w:val="center"/>
          </w:tcPr>
          <w:p w14:paraId="78F02ABD">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10分</w:t>
            </w:r>
          </w:p>
        </w:tc>
        <w:tc>
          <w:tcPr>
            <w:tcW w:w="3846" w:type="pct"/>
            <w:shd w:val="clear"/>
            <w:tcMar>
              <w:top w:w="150" w:type="dxa"/>
              <w:left w:w="240" w:type="dxa"/>
              <w:bottom w:w="150" w:type="dxa"/>
              <w:right w:w="0" w:type="dxa"/>
            </w:tcMar>
            <w:vAlign w:val="center"/>
          </w:tcPr>
          <w:p w14:paraId="0A4F72A6">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近三年内（以合同签订时间为准）完成过人事档案数字化服务项目的：</w:t>
            </w:r>
          </w:p>
          <w:p w14:paraId="03E28C1A">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①每提供1份有效业绩合同及验收证明，得2.5分；</w:t>
            </w:r>
          </w:p>
          <w:p w14:paraId="5402BEAF">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②本项最高得10分。</w:t>
            </w:r>
          </w:p>
          <w:p w14:paraId="043D6855">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（注：须提供合同关键页复印件及验收证明，加盖公章）</w:t>
            </w:r>
          </w:p>
        </w:tc>
      </w:tr>
      <w:tr w14:paraId="769DF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3CEC8D42">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供应商资质与综合实力</w:t>
            </w:r>
          </w:p>
        </w:tc>
        <w:tc>
          <w:tcPr>
            <w:tcW w:w="519" w:type="pct"/>
            <w:shd w:val="clear"/>
            <w:tcMar>
              <w:top w:w="150" w:type="dxa"/>
              <w:left w:w="240" w:type="dxa"/>
              <w:bottom w:w="150" w:type="dxa"/>
              <w:right w:w="240" w:type="dxa"/>
            </w:tcMar>
            <w:vAlign w:val="center"/>
          </w:tcPr>
          <w:p w14:paraId="13B293A6">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4分</w:t>
            </w:r>
          </w:p>
        </w:tc>
        <w:tc>
          <w:tcPr>
            <w:tcW w:w="3846" w:type="pct"/>
            <w:shd w:val="clear"/>
            <w:tcMar>
              <w:top w:w="150" w:type="dxa"/>
              <w:left w:w="240" w:type="dxa"/>
              <w:bottom w:w="150" w:type="dxa"/>
              <w:right w:w="0" w:type="dxa"/>
            </w:tcMar>
            <w:vAlign w:val="center"/>
          </w:tcPr>
          <w:p w14:paraId="7C891118">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①具有ISO9001质量管理体系认证证书（认证范围须包含档案数字化服务或数据处理服务相关内容），得2分；</w:t>
            </w:r>
          </w:p>
          <w:p w14:paraId="7E52A8DD">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②具有ISO27001信息安全管理体系认证证书（认证范围须包含档案数字化服务或数据处理服务相关内容），得2分。</w:t>
            </w:r>
          </w:p>
          <w:p w14:paraId="5139A2BD">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（注：须提供有效期内的证书复印件并加盖公章，不满足要求不得分）</w:t>
            </w:r>
          </w:p>
        </w:tc>
      </w:tr>
      <w:tr w14:paraId="79C0D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2DD39FFC">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人员配置与团队实力</w:t>
            </w:r>
          </w:p>
        </w:tc>
        <w:tc>
          <w:tcPr>
            <w:tcW w:w="519" w:type="pct"/>
            <w:shd w:val="clear"/>
            <w:tcMar>
              <w:top w:w="150" w:type="dxa"/>
              <w:left w:w="240" w:type="dxa"/>
              <w:bottom w:w="150" w:type="dxa"/>
              <w:right w:w="240" w:type="dxa"/>
            </w:tcMar>
            <w:vAlign w:val="center"/>
          </w:tcPr>
          <w:p w14:paraId="081774C4">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8分</w:t>
            </w:r>
          </w:p>
        </w:tc>
        <w:tc>
          <w:tcPr>
            <w:tcW w:w="3846" w:type="pct"/>
            <w:shd w:val="clear"/>
            <w:tcMar>
              <w:top w:w="150" w:type="dxa"/>
              <w:left w:w="240" w:type="dxa"/>
              <w:bottom w:w="150" w:type="dxa"/>
              <w:right w:w="0" w:type="dxa"/>
            </w:tcMar>
            <w:vAlign w:val="center"/>
          </w:tcPr>
          <w:p w14:paraId="4D7C4FB8">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①项目负责人具有档案相关专业中级及以上职称或具有档案数字化项目负责人经验（提供证明材料），得3分；</w:t>
            </w:r>
          </w:p>
          <w:p w14:paraId="3362C496">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②项目团队中具有档案管理相关专业人员（提供学历、证书等证明材料），2人及以上得3分，1人得1分；</w:t>
            </w:r>
          </w:p>
          <w:p w14:paraId="48163742">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③项目参与人员均承诺签订保密协议并通过背景审查的，得2分。</w:t>
            </w:r>
          </w:p>
        </w:tc>
      </w:tr>
      <w:tr w14:paraId="205E0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634" w:type="pct"/>
            <w:shd w:val="clear"/>
            <w:tcMar>
              <w:top w:w="150" w:type="dxa"/>
              <w:left w:w="240" w:type="dxa"/>
              <w:bottom w:w="150" w:type="dxa"/>
              <w:right w:w="240" w:type="dxa"/>
            </w:tcMar>
            <w:vAlign w:val="center"/>
          </w:tcPr>
          <w:p w14:paraId="33A8B0FA">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sz w:val="24"/>
                <w:szCs w:val="24"/>
              </w:rPr>
            </w:pPr>
            <w:r>
              <w:rPr>
                <w:rFonts w:hint="default" w:ascii="Times New Roman" w:hAnsi="Times New Roman" w:eastAsia="仿宋_GB2312" w:cs="Times New Roman"/>
                <w:b/>
                <w:bCs/>
                <w:kern w:val="0"/>
                <w:sz w:val="24"/>
                <w:szCs w:val="24"/>
                <w:bdr w:val="none" w:color="auto" w:sz="0" w:space="0"/>
                <w:lang w:val="en-US" w:eastAsia="zh-CN" w:bidi="ar"/>
              </w:rPr>
              <w:t>售后服务与质保承诺</w:t>
            </w:r>
          </w:p>
        </w:tc>
        <w:tc>
          <w:tcPr>
            <w:tcW w:w="519" w:type="pct"/>
            <w:shd w:val="clear"/>
            <w:tcMar>
              <w:top w:w="150" w:type="dxa"/>
              <w:left w:w="240" w:type="dxa"/>
              <w:bottom w:w="150" w:type="dxa"/>
              <w:right w:w="240" w:type="dxa"/>
            </w:tcMar>
            <w:vAlign w:val="center"/>
          </w:tcPr>
          <w:p w14:paraId="07C95E39">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center"/>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9分</w:t>
            </w:r>
          </w:p>
        </w:tc>
        <w:tc>
          <w:tcPr>
            <w:tcW w:w="3846" w:type="pct"/>
            <w:shd w:val="clear"/>
            <w:tcMar>
              <w:top w:w="150" w:type="dxa"/>
              <w:left w:w="240" w:type="dxa"/>
              <w:bottom w:w="150" w:type="dxa"/>
              <w:right w:w="0" w:type="dxa"/>
            </w:tcMar>
            <w:vAlign w:val="center"/>
          </w:tcPr>
          <w:p w14:paraId="6C579CC3">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①承诺质保期12个月及以上且服务响应时间48小时以内，同时承诺：确保数据成功上传至档案管理系统并配合采购人完成验收</w:t>
            </w:r>
            <w:r>
              <w:rPr>
                <w:rFonts w:hint="eastAsia" w:ascii="Times New Roman" w:hAnsi="Times New Roman" w:cs="Times New Roman"/>
                <w:b w:val="0"/>
                <w:bCs w:val="0"/>
                <w:kern w:val="0"/>
                <w:sz w:val="24"/>
                <w:szCs w:val="24"/>
                <w:bdr w:val="none" w:color="auto" w:sz="0" w:space="0"/>
                <w:lang w:val="en-US" w:eastAsia="zh-CN" w:bidi="ar"/>
              </w:rPr>
              <w:t>；在</w:t>
            </w:r>
            <w:r>
              <w:rPr>
                <w:rFonts w:hint="default" w:ascii="Times New Roman" w:hAnsi="Times New Roman" w:eastAsia="仿宋_GB2312" w:cs="Times New Roman"/>
                <w:b w:val="0"/>
                <w:bCs w:val="0"/>
                <w:kern w:val="0"/>
                <w:sz w:val="24"/>
                <w:szCs w:val="24"/>
                <w:bdr w:val="none" w:color="auto" w:sz="0" w:space="0"/>
                <w:lang w:val="en-US" w:eastAsia="zh-CN" w:bidi="ar"/>
              </w:rPr>
              <w:t>质保期内继续履行保密义务；项目完成后彻底清除所有留存数据，得9分；</w:t>
            </w:r>
          </w:p>
          <w:p w14:paraId="432A267A">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②承诺质保期12个月及以上且服务响应时间48小时以内，但上述三项承诺中缺少一项，得6分；</w:t>
            </w:r>
          </w:p>
          <w:p w14:paraId="55B368E7">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③承诺质保期12个月及以上且服务响应时间48小时以内，但缺少两项及以上承诺，得3分；</w:t>
            </w:r>
          </w:p>
          <w:p w14:paraId="05854B7C">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kern w:val="0"/>
                <w:sz w:val="24"/>
                <w:szCs w:val="24"/>
                <w:bdr w:val="none" w:color="auto" w:sz="0" w:space="0"/>
                <w:lang w:val="en-US" w:eastAsia="zh-CN" w:bidi="ar"/>
              </w:rPr>
            </w:pPr>
            <w:r>
              <w:rPr>
                <w:rFonts w:hint="default" w:ascii="Times New Roman" w:hAnsi="Times New Roman" w:eastAsia="仿宋_GB2312" w:cs="Times New Roman"/>
                <w:b w:val="0"/>
                <w:bCs w:val="0"/>
                <w:kern w:val="0"/>
                <w:sz w:val="24"/>
                <w:szCs w:val="24"/>
                <w:bdr w:val="none" w:color="auto" w:sz="0" w:space="0"/>
                <w:lang w:val="en-US" w:eastAsia="zh-CN" w:bidi="ar"/>
              </w:rPr>
              <w:t>④承诺质保期6个月及以上，得2分；</w:t>
            </w:r>
          </w:p>
          <w:p w14:paraId="6CE3B5B0">
            <w:pPr>
              <w:keepNext w:val="0"/>
              <w:keepLines w:val="0"/>
              <w:pageBreakBefore w:val="0"/>
              <w:widowControl w:val="0"/>
              <w:suppressLineNumbers w:val="0"/>
              <w:kinsoku/>
              <w:wordWrap/>
              <w:overflowPunct/>
              <w:topLinePunct w:val="0"/>
              <w:autoSpaceDE/>
              <w:autoSpaceDN/>
              <w:bidi w:val="0"/>
              <w:adjustRightInd w:val="0"/>
              <w:snapToGrid w:val="0"/>
              <w:spacing w:line="280" w:lineRule="exact"/>
              <w:jc w:val="both"/>
              <w:textAlignment w:val="center"/>
              <w:rPr>
                <w:rFonts w:hint="default" w:ascii="Times New Roman" w:hAnsi="Times New Roman" w:eastAsia="仿宋_GB2312" w:cs="Times New Roman"/>
                <w:b w:val="0"/>
                <w:bCs w:val="0"/>
                <w:sz w:val="24"/>
                <w:szCs w:val="24"/>
              </w:rPr>
            </w:pPr>
            <w:r>
              <w:rPr>
                <w:rFonts w:hint="default" w:ascii="Times New Roman" w:hAnsi="Times New Roman" w:eastAsia="仿宋_GB2312" w:cs="Times New Roman"/>
                <w:b w:val="0"/>
                <w:bCs w:val="0"/>
                <w:kern w:val="0"/>
                <w:sz w:val="24"/>
                <w:szCs w:val="24"/>
                <w:bdr w:val="none" w:color="auto" w:sz="0" w:space="0"/>
                <w:lang w:val="en-US" w:eastAsia="zh-CN" w:bidi="ar"/>
              </w:rPr>
              <w:t>⑤承诺质保期不足6个月或不提供质保承诺，得0分。</w:t>
            </w:r>
          </w:p>
        </w:tc>
      </w:tr>
    </w:tbl>
    <w:p w14:paraId="7E219642">
      <w:pPr>
        <w:pStyle w:val="11"/>
        <w:keepNext w:val="0"/>
        <w:keepLines w:val="0"/>
        <w:pageBreakBefore w:val="0"/>
        <w:widowControl w:val="0"/>
        <w:shd w:val="clear"/>
        <w:kinsoku/>
        <w:wordWrap/>
        <w:overflowPunct/>
        <w:topLinePunct w:val="0"/>
        <w:autoSpaceDE/>
        <w:autoSpaceDN/>
        <w:bidi w:val="0"/>
        <w:adjustRightInd/>
        <w:snapToGrid/>
        <w:textAlignment w:val="center"/>
        <w:rPr>
          <w:rFonts w:ascii="Times New Roman" w:hAnsi="Times New Roman" w:eastAsia="仿宋_GB2312" w:cs="仿宋_GB2312"/>
          <w:b w:val="0"/>
          <w:bCs/>
          <w:i w:val="0"/>
          <w:color w:val="0F1115"/>
          <w:sz w:val="32"/>
          <w:szCs w:val="32"/>
        </w:rPr>
      </w:pPr>
      <w:r>
        <w:rPr>
          <w:rFonts w:ascii="Times New Roman" w:hAnsi="Times New Roman" w:eastAsia="仿宋_GB2312" w:cs="仿宋_GB2312"/>
          <w:b w:val="0"/>
          <w:bCs/>
          <w:i w:val="0"/>
          <w:color w:val="0F1115"/>
          <w:sz w:val="32"/>
          <w:szCs w:val="32"/>
        </w:rPr>
        <w:t>注：技术商务分各单项得分均保留两位小数。</w:t>
      </w:r>
    </w:p>
    <w:p w14:paraId="20AEAC70">
      <w:pPr>
        <w:pStyle w:val="2"/>
        <w:keepNext w:val="0"/>
        <w:keepLines w:val="0"/>
        <w:pageBreakBefore w:val="0"/>
        <w:widowControl w:val="0"/>
        <w:numPr>
          <w:numId w:val="0"/>
        </w:numPr>
        <w:shd w:val="clear"/>
        <w:kinsoku/>
        <w:wordWrap/>
        <w:overflowPunct/>
        <w:topLinePunct w:val="0"/>
        <w:autoSpaceDE/>
        <w:autoSpaceDN/>
        <w:bidi w:val="0"/>
        <w:adjustRightInd/>
        <w:snapToGrid/>
        <w:spacing w:beforeLines="0" w:afterLines="0"/>
        <w:ind w:left="0" w:leftChars="0" w:firstLine="632"/>
        <w:textAlignment w:val="center"/>
        <w:rPr>
          <w:b w:val="0"/>
          <w:bdr w:val="none" w:sz="0" w:space="0"/>
        </w:rPr>
      </w:pPr>
      <w:r>
        <w:rPr>
          <w:rFonts w:hint="eastAsia"/>
          <w:lang w:val="en-US" w:eastAsia="zh-CN"/>
        </w:rPr>
        <w:t>三</w:t>
      </w:r>
      <w:r>
        <w:rPr>
          <w:rFonts w:hint="eastAsia"/>
          <w:lang w:eastAsia="zh-CN"/>
        </w:rPr>
        <w:t>、</w:t>
      </w:r>
      <w:r>
        <w:t>综合得分计算</w:t>
      </w:r>
    </w:p>
    <w:p w14:paraId="233C08CA">
      <w:pPr>
        <w:pStyle w:val="11"/>
        <w:keepNext w:val="0"/>
        <w:keepLines w:val="0"/>
        <w:pageBreakBefore w:val="0"/>
        <w:widowControl w:val="0"/>
        <w:shd w:val="clear"/>
        <w:kinsoku/>
        <w:wordWrap/>
        <w:overflowPunct/>
        <w:topLinePunct w:val="0"/>
        <w:autoSpaceDE/>
        <w:autoSpaceDN/>
        <w:bidi w:val="0"/>
        <w:adjustRightInd/>
        <w:snapToGrid/>
        <w:textAlignment w:val="center"/>
        <w:rPr>
          <w:rFonts w:ascii="Times New Roman" w:hAnsi="Times New Roman" w:eastAsia="仿宋_GB2312" w:cs="仿宋_GB2312"/>
          <w:b w:val="0"/>
          <w:bCs/>
          <w:sz w:val="32"/>
          <w:szCs w:val="32"/>
        </w:rPr>
      </w:pPr>
      <w:r>
        <w:rPr>
          <w:rFonts w:ascii="Times New Roman" w:hAnsi="Times New Roman" w:eastAsia="仿宋_GB2312" w:cs="仿宋_GB2312"/>
          <w:b w:val="0"/>
          <w:bCs/>
          <w:i w:val="0"/>
          <w:color w:val="0F1115"/>
          <w:sz w:val="32"/>
          <w:szCs w:val="32"/>
        </w:rPr>
        <w:t>综合得分 ＝ 价格分 ＋ 技术</w:t>
      </w:r>
      <w:bookmarkStart w:id="0" w:name="_GoBack"/>
      <w:bookmarkEnd w:id="0"/>
      <w:r>
        <w:rPr>
          <w:rFonts w:ascii="Times New Roman" w:hAnsi="Times New Roman" w:eastAsia="仿宋_GB2312" w:cs="仿宋_GB2312"/>
          <w:b w:val="0"/>
          <w:bCs/>
          <w:i w:val="0"/>
          <w:color w:val="0F1115"/>
          <w:sz w:val="32"/>
          <w:szCs w:val="32"/>
        </w:rPr>
        <w:t>商务分</w:t>
      </w:r>
    </w:p>
    <w:p w14:paraId="412515DA">
      <w:pPr>
        <w:pStyle w:val="11"/>
        <w:keepNext w:val="0"/>
        <w:keepLines w:val="0"/>
        <w:pageBreakBefore w:val="0"/>
        <w:widowControl w:val="0"/>
        <w:shd w:val="clear"/>
        <w:kinsoku/>
        <w:wordWrap/>
        <w:overflowPunct/>
        <w:topLinePunct w:val="0"/>
        <w:autoSpaceDE/>
        <w:autoSpaceDN/>
        <w:bidi w:val="0"/>
        <w:adjustRightInd/>
        <w:snapToGrid/>
        <w:textAlignment w:val="center"/>
        <w:rPr>
          <w:rFonts w:ascii="Times New Roman" w:hAnsi="Times New Roman" w:eastAsia="仿宋_GB2312" w:cs="仿宋_GB2312"/>
          <w:i w:val="0"/>
          <w:color w:val="0F1115"/>
          <w:sz w:val="32"/>
          <w:szCs w:val="32"/>
        </w:rPr>
      </w:pPr>
      <w:r>
        <w:rPr>
          <w:rFonts w:ascii="Times New Roman" w:hAnsi="Times New Roman" w:eastAsia="仿宋_GB2312" w:cs="仿宋_GB2312"/>
          <w:i w:val="0"/>
          <w:color w:val="0F1115"/>
          <w:sz w:val="32"/>
          <w:szCs w:val="32"/>
        </w:rPr>
        <w:t>比选小组根据综合得分由高到低进行排序，推荐综合得分最高的供应商为第一成交候选人。若综合得分相同，以技术商务分较高者优先；若技术商务分仍相同，由比选小组投票决定。</w:t>
      </w:r>
    </w:p>
    <w:p w14:paraId="44F12E10">
      <w:pPr>
        <w:pStyle w:val="2"/>
        <w:keepNext w:val="0"/>
        <w:keepLines w:val="0"/>
        <w:pageBreakBefore w:val="0"/>
        <w:widowControl w:val="0"/>
        <w:numPr>
          <w:numId w:val="0"/>
        </w:numPr>
        <w:shd w:val="clear"/>
        <w:kinsoku/>
        <w:wordWrap/>
        <w:overflowPunct/>
        <w:topLinePunct w:val="0"/>
        <w:autoSpaceDE/>
        <w:autoSpaceDN/>
        <w:bidi w:val="0"/>
        <w:adjustRightInd/>
        <w:snapToGrid/>
        <w:spacing w:beforeLines="0" w:afterLines="0"/>
        <w:ind w:left="0" w:leftChars="0" w:firstLine="632"/>
        <w:textAlignment w:val="center"/>
        <w:rPr>
          <w:b w:val="0"/>
          <w:bdr w:val="none" w:sz="0" w:space="0"/>
        </w:rPr>
      </w:pPr>
      <w:r>
        <w:rPr>
          <w:rFonts w:hint="eastAsia"/>
          <w:lang w:val="en-US" w:eastAsia="zh-CN"/>
        </w:rPr>
        <w:t>四</w:t>
      </w:r>
      <w:r>
        <w:rPr>
          <w:rFonts w:hint="eastAsia"/>
          <w:lang w:eastAsia="zh-CN"/>
        </w:rPr>
        <w:t>、</w:t>
      </w:r>
      <w:r>
        <w:t>评审程序</w:t>
      </w:r>
    </w:p>
    <w:p w14:paraId="34C4806D">
      <w:pPr>
        <w:pStyle w:val="11"/>
        <w:keepNext w:val="0"/>
        <w:keepLines w:val="0"/>
        <w:pageBreakBefore w:val="0"/>
        <w:widowControl w:val="0"/>
        <w:numPr>
          <w:ilvl w:val="0"/>
          <w:numId w:val="1"/>
        </w:numPr>
        <w:shd w:val="clear"/>
        <w:kinsoku/>
        <w:wordWrap/>
        <w:overflowPunct/>
        <w:topLinePunct w:val="0"/>
        <w:autoSpaceDE/>
        <w:autoSpaceDN/>
        <w:bidi w:val="0"/>
        <w:adjustRightInd/>
        <w:snapToGrid/>
        <w:ind w:left="0" w:leftChars="0" w:firstLine="608" w:firstLineChars="200"/>
        <w:textAlignment w:val="center"/>
        <w:rPr>
          <w:rFonts w:ascii="Times New Roman" w:hAnsi="Times New Roman" w:eastAsia="仿宋_GB2312" w:cs="仿宋_GB2312"/>
          <w:sz w:val="32"/>
          <w:szCs w:val="32"/>
        </w:rPr>
      </w:pPr>
      <w:r>
        <w:rPr>
          <w:rFonts w:ascii="Times New Roman" w:hAnsi="Times New Roman" w:eastAsia="仿宋_GB2312" w:cs="仿宋_GB2312"/>
          <w:b/>
          <w:i w:val="0"/>
          <w:color w:val="0F1115"/>
          <w:sz w:val="32"/>
          <w:szCs w:val="32"/>
        </w:rPr>
        <w:t>资格审查</w:t>
      </w:r>
      <w:r>
        <w:rPr>
          <w:rFonts w:ascii="Times New Roman" w:hAnsi="Times New Roman" w:eastAsia="仿宋_GB2312" w:cs="仿宋_GB2312"/>
          <w:i w:val="0"/>
          <w:color w:val="0F1115"/>
          <w:sz w:val="32"/>
          <w:szCs w:val="32"/>
        </w:rPr>
        <w:t>：依据公告第六条及附件1第七条对供应商进行资格审查，未通过者不得进入后续评审。</w:t>
      </w:r>
    </w:p>
    <w:p w14:paraId="4EB8D525">
      <w:pPr>
        <w:pStyle w:val="11"/>
        <w:keepNext w:val="0"/>
        <w:keepLines w:val="0"/>
        <w:pageBreakBefore w:val="0"/>
        <w:widowControl w:val="0"/>
        <w:numPr>
          <w:ilvl w:val="0"/>
          <w:numId w:val="1"/>
        </w:numPr>
        <w:shd w:val="clear"/>
        <w:kinsoku/>
        <w:wordWrap/>
        <w:overflowPunct/>
        <w:topLinePunct w:val="0"/>
        <w:autoSpaceDE/>
        <w:autoSpaceDN/>
        <w:bidi w:val="0"/>
        <w:adjustRightInd/>
        <w:snapToGrid/>
        <w:ind w:left="0" w:leftChars="0" w:firstLine="608" w:firstLineChars="200"/>
        <w:textAlignment w:val="center"/>
        <w:rPr>
          <w:rFonts w:ascii="Times New Roman" w:hAnsi="Times New Roman" w:eastAsia="仿宋_GB2312" w:cs="仿宋_GB2312"/>
          <w:sz w:val="32"/>
          <w:szCs w:val="32"/>
        </w:rPr>
      </w:pPr>
      <w:r>
        <w:rPr>
          <w:rFonts w:ascii="Times New Roman" w:hAnsi="Times New Roman" w:eastAsia="仿宋_GB2312" w:cs="仿宋_GB2312"/>
          <w:b/>
          <w:i w:val="0"/>
          <w:color w:val="0F1115"/>
          <w:sz w:val="32"/>
          <w:szCs w:val="32"/>
        </w:rPr>
        <w:t>符合性审查</w:t>
      </w:r>
      <w:r>
        <w:rPr>
          <w:rFonts w:ascii="Times New Roman" w:hAnsi="Times New Roman" w:eastAsia="仿宋_GB2312" w:cs="仿宋_GB2312"/>
          <w:i w:val="0"/>
          <w:color w:val="0F1115"/>
          <w:sz w:val="32"/>
          <w:szCs w:val="32"/>
        </w:rPr>
        <w:t>：检查响应文件是否满足采购文件的实质性要求（报价有效性、文件签署等）。</w:t>
      </w:r>
    </w:p>
    <w:p w14:paraId="36C56D7C">
      <w:pPr>
        <w:pStyle w:val="11"/>
        <w:keepNext w:val="0"/>
        <w:keepLines w:val="0"/>
        <w:pageBreakBefore w:val="0"/>
        <w:widowControl w:val="0"/>
        <w:numPr>
          <w:ilvl w:val="0"/>
          <w:numId w:val="1"/>
        </w:numPr>
        <w:kinsoku/>
        <w:wordWrap/>
        <w:autoSpaceDE/>
        <w:autoSpaceDN/>
        <w:bidi w:val="0"/>
        <w:ind w:left="0" w:leftChars="0" w:firstLine="608" w:firstLineChars="200"/>
        <w:textAlignment w:val="center"/>
        <w:rPr>
          <w:rFonts w:ascii="Times New Roman" w:hAnsi="Times New Roman" w:eastAsia="仿宋_GB2312" w:cs="仿宋_GB2312"/>
          <w:sz w:val="32"/>
          <w:szCs w:val="32"/>
        </w:rPr>
      </w:pPr>
      <w:r>
        <w:rPr>
          <w:rFonts w:ascii="Times New Roman" w:hAnsi="Times New Roman" w:eastAsia="仿宋_GB2312" w:cs="仿宋_GB2312"/>
          <w:b/>
          <w:i w:val="0"/>
          <w:color w:val="0F1115"/>
          <w:sz w:val="32"/>
          <w:szCs w:val="32"/>
        </w:rPr>
        <w:t>技术商务评审</w:t>
      </w:r>
      <w:r>
        <w:rPr>
          <w:rFonts w:ascii="Times New Roman" w:hAnsi="Times New Roman" w:eastAsia="仿宋_GB2312" w:cs="仿宋_GB2312"/>
          <w:i w:val="0"/>
          <w:color w:val="0F1115"/>
          <w:sz w:val="32"/>
          <w:szCs w:val="32"/>
        </w:rPr>
        <w:t>：比选小组成员独立打分，取算术平均值（保留两位小数）。</w:t>
      </w:r>
    </w:p>
    <w:p w14:paraId="330D0448">
      <w:pPr>
        <w:pStyle w:val="11"/>
        <w:keepNext w:val="0"/>
        <w:keepLines w:val="0"/>
        <w:pageBreakBefore w:val="0"/>
        <w:widowControl w:val="0"/>
        <w:numPr>
          <w:ilvl w:val="0"/>
          <w:numId w:val="1"/>
        </w:numPr>
        <w:kinsoku/>
        <w:wordWrap/>
        <w:autoSpaceDE/>
        <w:autoSpaceDN/>
        <w:bidi w:val="0"/>
        <w:ind w:left="0" w:leftChars="0" w:firstLine="608" w:firstLineChars="200"/>
        <w:textAlignment w:val="center"/>
        <w:rPr>
          <w:rFonts w:ascii="Times New Roman" w:hAnsi="Times New Roman" w:eastAsia="仿宋_GB2312" w:cs="仿宋_GB2312"/>
          <w:sz w:val="32"/>
          <w:szCs w:val="32"/>
        </w:rPr>
      </w:pPr>
      <w:r>
        <w:rPr>
          <w:rFonts w:ascii="Times New Roman" w:hAnsi="Times New Roman" w:eastAsia="仿宋_GB2312" w:cs="仿宋_GB2312"/>
          <w:b/>
          <w:i w:val="0"/>
          <w:color w:val="0F1115"/>
          <w:sz w:val="32"/>
          <w:szCs w:val="32"/>
        </w:rPr>
        <w:t>价格分计算</w:t>
      </w:r>
      <w:r>
        <w:rPr>
          <w:rFonts w:ascii="Times New Roman" w:hAnsi="Times New Roman" w:eastAsia="仿宋_GB2312" w:cs="仿宋_GB2312"/>
          <w:i w:val="0"/>
          <w:color w:val="0F1115"/>
          <w:sz w:val="32"/>
          <w:szCs w:val="32"/>
        </w:rPr>
        <w:t>：统一计算各供应商价格分。</w:t>
      </w:r>
    </w:p>
    <w:p w14:paraId="021F796F">
      <w:pPr>
        <w:pStyle w:val="11"/>
        <w:keepNext w:val="0"/>
        <w:keepLines w:val="0"/>
        <w:pageBreakBefore w:val="0"/>
        <w:widowControl w:val="0"/>
        <w:numPr>
          <w:ilvl w:val="0"/>
          <w:numId w:val="1"/>
        </w:numPr>
        <w:kinsoku/>
        <w:wordWrap/>
        <w:autoSpaceDE/>
        <w:autoSpaceDN/>
        <w:bidi w:val="0"/>
        <w:ind w:left="0" w:leftChars="0" w:firstLine="608" w:firstLineChars="200"/>
        <w:textAlignment w:val="center"/>
      </w:pPr>
      <w:r>
        <w:rPr>
          <w:rFonts w:ascii="Times New Roman" w:hAnsi="Times New Roman" w:eastAsia="仿宋_GB2312" w:cs="仿宋_GB2312"/>
          <w:b/>
          <w:i w:val="0"/>
          <w:color w:val="0F1115"/>
          <w:sz w:val="32"/>
          <w:szCs w:val="32"/>
        </w:rPr>
        <w:t>综合得分汇总</w:t>
      </w:r>
      <w:r>
        <w:rPr>
          <w:rFonts w:ascii="Times New Roman" w:hAnsi="Times New Roman" w:eastAsia="仿宋_GB2312" w:cs="仿宋_GB2312"/>
          <w:i w:val="0"/>
          <w:color w:val="0F1115"/>
          <w:sz w:val="32"/>
          <w:szCs w:val="32"/>
        </w:rPr>
        <w:t>：排序并确定成交候选人。</w:t>
      </w:r>
    </w:p>
    <w:sectPr>
      <w:headerReference r:id="rId3" w:type="default"/>
      <w:footerReference r:id="rId5" w:type="default"/>
      <w:headerReference r:id="rId4" w:type="even"/>
      <w:footerReference r:id="rId6" w:type="even"/>
      <w:pgSz w:w="11906" w:h="16839"/>
      <w:pgMar w:top="2098" w:right="1474" w:bottom="1984" w:left="1587" w:header="851" w:footer="1417" w:gutter="0"/>
      <w:pgNumType w:fmt="decimal" w:start="1"/>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Segoe UI">
    <w:panose1 w:val="020B0502040204020203"/>
    <w:charset w:val="00"/>
    <w:family w:val="auto"/>
    <w:pitch w:val="default"/>
    <w:sig w:usb0="E4002EFF" w:usb1="C000E47F" w:usb2="00000009" w:usb3="00000000" w:csb0="200001FF"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DF26B">
    <w:pPr>
      <w:pStyle w:val="13"/>
    </w:pPr>
    <w:r>
      <w:rPr>
        <w:sz w:val="30"/>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2F1C716F">
                          <w:pPr>
                            <w:pStyle w:val="13"/>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59264;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AalSs7WAAAABgEAAA8AAAAAAAAAAQAgAAAAIgAAAGRycy9kb3ducmV2&#10;LnhtbFBLAQIUABQAAAAIAIdO4kBVtgQK4gIAAC4GAAAOAAAAAAAAAAEAIAAAACUBAABkcnMvZTJv&#10;RG9jLnhtbFBLBQYAAAAABgAGAFkBAAB5BgAAAAA=&#10;">
              <v:fill on="f" focussize="0,0"/>
              <v:stroke on="f" weight="0.5pt"/>
              <v:imagedata o:title=""/>
              <o:lock v:ext="edit" aspectratio="f"/>
              <v:textbox inset="16pt,0mm,16pt,0mm" style="mso-fit-shape-to-text:t;">
                <w:txbxContent>
                  <w:p w14:paraId="2F1C716F">
                    <w:pPr>
                      <w:pStyle w:val="13"/>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94E883">
    <w:pPr>
      <w:pStyle w:val="13"/>
    </w:pPr>
    <w:r>
      <w:rPr>
        <w:sz w:val="30"/>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BD9317D">
                          <w:pPr>
                            <w:pStyle w:val="13"/>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">
              <v:fill on="f" focussize="0,0"/>
              <v:stroke on="f" weight="0.5pt"/>
              <v:imagedata o:title=""/>
              <o:lock v:ext="edit" aspectratio="f"/>
              <v:textbox inset="16pt,0mm,16pt,0mm" style="mso-fit-shape-to-text:t;">
                <w:txbxContent>
                  <w:p w14:paraId="5BD9317D">
                    <w:pPr>
                      <w:pStyle w:val="13"/>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2EA7E9">
    <w:pPr>
      <w:pStyle w:val="14"/>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67734">
    <w:pPr>
      <w:pStyle w:val="14"/>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13D921"/>
    <w:multiLevelType w:val="singleLevel"/>
    <w:tmpl w:val="3A13D921"/>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0E2691"/>
    <w:rsid w:val="02057C43"/>
    <w:rsid w:val="02586A06"/>
    <w:rsid w:val="026956E5"/>
    <w:rsid w:val="0CEB4F95"/>
    <w:rsid w:val="0F7B5244"/>
    <w:rsid w:val="0F9B4F82"/>
    <w:rsid w:val="137E3707"/>
    <w:rsid w:val="1B2175C2"/>
    <w:rsid w:val="20F644A4"/>
    <w:rsid w:val="2222210D"/>
    <w:rsid w:val="277B1EA4"/>
    <w:rsid w:val="321D7903"/>
    <w:rsid w:val="3B592BAB"/>
    <w:rsid w:val="3D0E2691"/>
    <w:rsid w:val="46205A1C"/>
    <w:rsid w:val="47F75E20"/>
    <w:rsid w:val="4D8E43B1"/>
    <w:rsid w:val="551D216B"/>
    <w:rsid w:val="597E31AB"/>
    <w:rsid w:val="59A873C4"/>
    <w:rsid w:val="5A6C4CE3"/>
    <w:rsid w:val="62A50D92"/>
    <w:rsid w:val="665916FA"/>
    <w:rsid w:val="69425781"/>
    <w:rsid w:val="69B55F9F"/>
    <w:rsid w:val="71E73D56"/>
    <w:rsid w:val="740932C9"/>
    <w:rsid w:val="779C5D4B"/>
    <w:rsid w:val="798C11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officialmode val="1"/>
    </mc:Choice>
  </mc:AlternateContent>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textAlignment w:val="center"/>
    </w:pPr>
    <w:rPr>
      <w:rFonts w:ascii="仿宋_GB2312" w:hAnsi="仿宋_GB2312" w:eastAsia="仿宋_GB2312" w:cs="Times New Roman"/>
      <w:kern w:val="0"/>
      <w:sz w:val="32"/>
      <w:szCs w:val="32"/>
      <w:lang w:val="en-US" w:eastAsia="zh-CN" w:bidi="ar"/>
    </w:rPr>
  </w:style>
  <w:style w:type="paragraph" w:styleId="2">
    <w:name w:val="heading 1"/>
    <w:next w:val="1"/>
    <w:qFormat/>
    <w:uiPriority w:val="0"/>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semiHidden/>
    <w:unhideWhenUsed/>
    <w:qFormat/>
    <w:uiPriority w:val="0"/>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semiHidden/>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semiHidden/>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11">
    <w:name w:val="Body Tex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Body Text Indent"/>
    <w:basedOn w:val="1"/>
    <w:qFormat/>
    <w:uiPriority w:val="0"/>
    <w:pPr>
      <w:spacing w:after="120" w:afterLines="0" w:afterAutospacing="0"/>
      <w:ind w:left="420" w:leftChars="200"/>
    </w:pPr>
  </w:style>
  <w:style w:type="paragraph" w:styleId="13">
    <w:name w:val="footer"/>
    <w:basedOn w:val="1"/>
    <w:link w:val="21"/>
    <w:qFormat/>
    <w:uiPriority w:val="0"/>
    <w:pPr>
      <w:tabs>
        <w:tab w:val="center" w:pos="4153"/>
        <w:tab w:val="right" w:pos="8306"/>
      </w:tabs>
      <w:snapToGrid w:val="0"/>
      <w:ind w:firstLine="0" w:firstLineChars="0"/>
      <w:jc w:val="left"/>
    </w:pPr>
    <w:rPr>
      <w:rFonts w:eastAsia="宋体"/>
      <w:sz w:val="30"/>
      <w:szCs w:val="18"/>
    </w:rPr>
  </w:style>
  <w:style w:type="paragraph" w:styleId="14">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6">
    <w:name w:val="Normal (Web)"/>
    <w:basedOn w:val="1"/>
    <w:uiPriority w:val="0"/>
    <w:rPr>
      <w:sz w:val="24"/>
    </w:rPr>
  </w:style>
  <w:style w:type="paragraph" w:styleId="17">
    <w:name w:val="Title"/>
    <w:qFormat/>
    <w:uiPriority w:val="0"/>
    <w:pPr>
      <w:spacing w:line="720" w:lineRule="exact"/>
      <w:jc w:val="center"/>
      <w:outlineLvl w:val="9"/>
    </w:pPr>
    <w:rPr>
      <w:rFonts w:ascii="方正小标宋简体" w:hAnsi="方正小标宋简体" w:eastAsia="方正小标宋简体" w:cs="方正小标宋简体"/>
      <w:sz w:val="44"/>
      <w:szCs w:val="44"/>
    </w:rPr>
  </w:style>
  <w:style w:type="paragraph" w:styleId="18">
    <w:name w:val="Body Text First Indent 2"/>
    <w:basedOn w:val="12"/>
    <w:qFormat/>
    <w:uiPriority w:val="0"/>
    <w:pPr>
      <w:ind w:firstLine="420" w:firstLineChars="200"/>
    </w:pPr>
  </w:style>
  <w:style w:type="character" w:customStyle="1" w:styleId="21">
    <w:name w:val="页脚 Char"/>
    <w:basedOn w:val="20"/>
    <w:link w:val="13"/>
    <w:qFormat/>
    <w:uiPriority w:val="99"/>
    <w:rPr>
      <w:rFonts w:eastAsia="宋体"/>
      <w:kern w:val="2"/>
      <w:sz w:val="30"/>
      <w:szCs w:val="18"/>
    </w:rPr>
  </w:style>
  <w:style w:type="paragraph" w:customStyle="1" w:styleId="22">
    <w:name w:val="附录标题"/>
    <w:next w:val="1"/>
    <w:uiPriority w:val="0"/>
    <w:pPr>
      <w:overflowPunct w:val="0"/>
      <w:topLinePunct/>
      <w:spacing w:line="560" w:lineRule="exact"/>
      <w:jc w:val="left"/>
      <w:outlineLvl w:val="0"/>
    </w:pPr>
    <w:rPr>
      <w:rFonts w:ascii="黑体" w:hAnsi="黑体" w:eastAsia="黑体" w:cs="黑体"/>
      <w:sz w:val="32"/>
      <w:szCs w:val="32"/>
    </w:rPr>
  </w:style>
  <w:style w:type="paragraph" w:customStyle="1" w:styleId="23">
    <w:name w:val="表格标题"/>
    <w:next w:val="1"/>
    <w:uiPriority w:val="0"/>
    <w:pPr>
      <w:overflowPunct w:val="0"/>
      <w:topLinePunct/>
      <w:spacing w:line="560" w:lineRule="exact"/>
      <w:jc w:val="center"/>
      <w:outlineLvl w:val="9"/>
    </w:pPr>
    <w:rPr>
      <w:rFonts w:ascii="Times New Roman" w:hAnsi="Times New Roman" w:eastAsia="仿宋_GB2312" w:cs="仿宋_GB2312"/>
      <w:spacing w:val="-6"/>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8431033a-1bef-414c-8f99-de1e45dced02</errorID>
      <errorWord>；</errorWord>
      <group>L1_Word</group>
      <groupName>字词问题</groupName>
      <ability>L2_Typo</ability>
      <abilityName>字词错误</abilityName>
      <candidateList>
        <item>；在</item>
      </candidateList>
      <explain/>
      <paraID>6C579CC3</paraID>
      <start>57</start>
      <end>59</end>
      <status>modified</status>
      <modifiedWord>；在</modifiedWord>
      <trackRevisions>false</trackRevisions>
    </reviewItem>
    <reviewItem>
      <errorID>9d4730e5-5f30-4cb2-8c52-1c5da84c7f47</errorID>
      <errorWord>优先</errorWord>
      <group>L1_Word</group>
      <groupName>字词问题</groupName>
      <ability>L2_Typo</ability>
      <abilityName>字词错误</abilityName>
      <candidateList>
        <item>为优先</item>
      </candidateList>
      <explain/>
      <paraID>412515DA</paraID>
      <start>57</start>
      <end>59</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fc763b-949b-45b5-8d19-b58e0778c852}">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58</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2026-06-12T01:04:00Z</dcterms:created>
  <dc:creator>flystrong</dc:creator>
  <cp:lastModifiedBy>flystrong</cp:lastModifiedBy>
  <dcterms:modified xsi:type="dcterms:W3CDTF">2026-06-12T01:20:24Z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2D541860DD2143CBAF00FF9A460B8704_11</vt:lpwstr>
  </property>
  <property fmtid="{D5CDD505-2E9C-101B-9397-08002B2CF9AE}" pid="4" name="KSOTemplateDocerSaveRecord">
    <vt:lpwstr>eyJoZGlkIjoiN2Q3YWNjOWNhZjVkNmRiNTViYzAwMjBhMzJlMDQ3MDAiLCJ1c2VySWQiOiIyNTk1MDQ5MjAifQ==</vt:lpwstr>
  </property>
</Properties>
</file>